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2AE1" w14:textId="77777777" w:rsidR="005A3137" w:rsidRDefault="005A3137" w:rsidP="005A3137">
      <w:pPr>
        <w:rPr>
          <w:rFonts w:cs="Arial"/>
          <w:b/>
          <w:i/>
          <w:iCs/>
          <w:sz w:val="18"/>
          <w:szCs w:val="18"/>
          <w:u w:val="single"/>
        </w:rPr>
      </w:pPr>
    </w:p>
    <w:tbl>
      <w:tblPr>
        <w:tblW w:w="9769" w:type="dxa"/>
        <w:jc w:val="center"/>
        <w:shd w:val="clear" w:color="auto" w:fill="2870E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9"/>
      </w:tblGrid>
      <w:tr w:rsidR="005A3137" w:rsidRPr="00AF2821" w14:paraId="55BF5FF8" w14:textId="77777777" w:rsidTr="000D1D8F">
        <w:trPr>
          <w:cantSplit/>
          <w:trHeight w:val="55"/>
          <w:jc w:val="center"/>
        </w:trPr>
        <w:tc>
          <w:tcPr>
            <w:tcW w:w="9769" w:type="dxa"/>
            <w:shd w:val="clear" w:color="auto" w:fill="2870ED"/>
          </w:tcPr>
          <w:p w14:paraId="7140C8C9" w14:textId="28AF9549" w:rsidR="005A3137" w:rsidRPr="005A3137" w:rsidRDefault="00770C50" w:rsidP="005A3137">
            <w:pPr>
              <w:pStyle w:val="Heading1"/>
              <w:spacing w:before="60" w:after="60" w:line="276" w:lineRule="auto"/>
              <w:ind w:left="214" w:right="7"/>
              <w:jc w:val="center"/>
              <w:rPr>
                <w:rFonts w:ascii="Inter" w:hAnsi="Inter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Inter" w:hAnsi="Inter"/>
                <w:b/>
                <w:bCs/>
                <w:color w:val="FFFFFF" w:themeColor="background1"/>
                <w:sz w:val="36"/>
                <w:szCs w:val="36"/>
              </w:rPr>
              <w:t>Hungarikum Biztosítási Alkusz Zrt.</w:t>
            </w:r>
          </w:p>
          <w:p w14:paraId="5D63B90F" w14:textId="65865530" w:rsidR="005A3137" w:rsidRPr="005A3137" w:rsidRDefault="005A3137" w:rsidP="005A3137">
            <w:pPr>
              <w:pStyle w:val="Heading1"/>
              <w:spacing w:before="60" w:after="60" w:line="276" w:lineRule="auto"/>
              <w:ind w:left="214" w:right="7"/>
              <w:jc w:val="center"/>
              <w:rPr>
                <w:rFonts w:ascii="Inter" w:hAnsi="Inter"/>
                <w:color w:val="FFFFFF" w:themeColor="background1"/>
                <w:sz w:val="36"/>
                <w:szCs w:val="36"/>
              </w:rPr>
            </w:pPr>
            <w:r w:rsidRPr="005A3137">
              <w:rPr>
                <w:rFonts w:ascii="Inter" w:hAnsi="Inter"/>
                <w:b/>
                <w:bCs/>
                <w:color w:val="FFFFFF" w:themeColor="background1"/>
                <w:sz w:val="36"/>
                <w:szCs w:val="36"/>
              </w:rPr>
              <w:t xml:space="preserve">2026. március </w:t>
            </w:r>
            <w:r w:rsidR="00B21162">
              <w:rPr>
                <w:rFonts w:ascii="Inter" w:hAnsi="Inter"/>
                <w:b/>
                <w:bCs/>
                <w:color w:val="FFFFFF" w:themeColor="background1"/>
                <w:sz w:val="36"/>
                <w:szCs w:val="36"/>
              </w:rPr>
              <w:t>2</w:t>
            </w:r>
            <w:r w:rsidRPr="005A3137">
              <w:rPr>
                <w:rFonts w:ascii="Inter" w:hAnsi="Inter"/>
                <w:b/>
                <w:bCs/>
                <w:color w:val="FFFFFF" w:themeColor="background1"/>
                <w:sz w:val="36"/>
                <w:szCs w:val="36"/>
              </w:rPr>
              <w:t>-től hatályos DÍJJEGYZÉKE</w:t>
            </w:r>
          </w:p>
        </w:tc>
      </w:tr>
    </w:tbl>
    <w:p w14:paraId="29D1A009" w14:textId="77777777" w:rsidR="005A3137" w:rsidRDefault="005A3137" w:rsidP="005A3137">
      <w:pPr>
        <w:rPr>
          <w:rFonts w:cs="Arial"/>
          <w:b/>
          <w:i/>
          <w:iCs/>
          <w:sz w:val="18"/>
          <w:szCs w:val="18"/>
          <w:u w:val="single"/>
        </w:rPr>
      </w:pPr>
    </w:p>
    <w:p w14:paraId="3D15861A" w14:textId="77777777" w:rsidR="005A3137" w:rsidRDefault="005A3137" w:rsidP="005A3137">
      <w:pPr>
        <w:rPr>
          <w:rFonts w:cs="Arial"/>
          <w:b/>
          <w:i/>
          <w:iCs/>
          <w:sz w:val="18"/>
          <w:szCs w:val="18"/>
          <w:u w:val="single"/>
        </w:rPr>
      </w:pPr>
    </w:p>
    <w:p w14:paraId="6290AECE" w14:textId="77777777" w:rsidR="00770C50" w:rsidRPr="00084E1E" w:rsidRDefault="00770C50" w:rsidP="00770C50">
      <w:pPr>
        <w:pStyle w:val="Header"/>
        <w:numPr>
          <w:ilvl w:val="0"/>
          <w:numId w:val="4"/>
        </w:numPr>
        <w:tabs>
          <w:tab w:val="clear" w:pos="4153"/>
          <w:tab w:val="clear" w:pos="8306"/>
          <w:tab w:val="right" w:pos="9639"/>
        </w:tabs>
        <w:spacing w:before="120"/>
        <w:ind w:left="709"/>
        <w:jc w:val="both"/>
        <w:rPr>
          <w:rFonts w:cs="Arial"/>
          <w:b/>
          <w:i/>
          <w:iCs/>
          <w:sz w:val="18"/>
          <w:szCs w:val="18"/>
          <w:u w:val="single"/>
        </w:rPr>
      </w:pPr>
      <w:r w:rsidRPr="00084E1E">
        <w:rPr>
          <w:rFonts w:cs="Arial"/>
          <w:b/>
          <w:i/>
          <w:iCs/>
          <w:sz w:val="18"/>
          <w:szCs w:val="18"/>
          <w:u w:val="single"/>
        </w:rPr>
        <w:t>Befektetési alapok tranzakciós díjai</w:t>
      </w:r>
    </w:p>
    <w:p w14:paraId="638F04DA" w14:textId="77777777" w:rsidR="00770C50" w:rsidRPr="00600B26" w:rsidRDefault="00770C50" w:rsidP="00770C50">
      <w:pPr>
        <w:pStyle w:val="Header"/>
        <w:tabs>
          <w:tab w:val="clear" w:pos="4153"/>
          <w:tab w:val="clear" w:pos="8306"/>
          <w:tab w:val="right" w:pos="9639"/>
        </w:tabs>
        <w:spacing w:before="120"/>
        <w:jc w:val="both"/>
        <w:rPr>
          <w:rFonts w:cs="Arial"/>
          <w:sz w:val="18"/>
          <w:szCs w:val="18"/>
        </w:rPr>
      </w:pPr>
      <w:r w:rsidRPr="00600B26">
        <w:rPr>
          <w:rFonts w:cs="Arial"/>
          <w:sz w:val="18"/>
          <w:szCs w:val="18"/>
        </w:rPr>
        <w:t xml:space="preserve">Az Erste Befektetési Zrt. hatályos Díjjegyzékének III. pontjában foglalt befektetési alapok </w:t>
      </w:r>
      <w:r w:rsidRPr="00B85F2D">
        <w:rPr>
          <w:rFonts w:cs="Arial"/>
          <w:sz w:val="18"/>
          <w:szCs w:val="18"/>
        </w:rPr>
        <w:t xml:space="preserve">Hungarikum Biztosítási Alkusz Zrt. </w:t>
      </w:r>
      <w:r>
        <w:rPr>
          <w:rFonts w:cs="Arial"/>
          <w:sz w:val="18"/>
          <w:szCs w:val="18"/>
        </w:rPr>
        <w:t>(a továbbiakban: Társaság)</w:t>
      </w:r>
      <w:r w:rsidRPr="00600B26">
        <w:rPr>
          <w:rFonts w:cs="Arial"/>
          <w:sz w:val="18"/>
          <w:szCs w:val="18"/>
        </w:rPr>
        <w:t xml:space="preserve"> általi közvetítése esetén a felszámított vételi/eladási jutalék mértéke 5 %, de legfeljebb az egyes befektetési alapok tájékoztatójában meghatározott maximum összeg.</w:t>
      </w:r>
    </w:p>
    <w:p w14:paraId="00BA0E3E" w14:textId="77777777" w:rsidR="00770C50" w:rsidRPr="00E504AC" w:rsidRDefault="00770C50" w:rsidP="00770C50">
      <w:pPr>
        <w:pStyle w:val="Header"/>
        <w:tabs>
          <w:tab w:val="clear" w:pos="4153"/>
          <w:tab w:val="clear" w:pos="8306"/>
          <w:tab w:val="right" w:pos="9639"/>
        </w:tabs>
        <w:spacing w:before="120"/>
        <w:ind w:left="709"/>
        <w:jc w:val="both"/>
        <w:rPr>
          <w:rFonts w:cs="Arial"/>
          <w:b/>
          <w:i/>
          <w:iCs/>
          <w:sz w:val="18"/>
          <w:szCs w:val="18"/>
          <w:u w:val="single"/>
        </w:rPr>
      </w:pPr>
    </w:p>
    <w:p w14:paraId="7CC11B57" w14:textId="77777777" w:rsidR="00770C50" w:rsidRPr="008A424C" w:rsidRDefault="00770C50" w:rsidP="00770C50">
      <w:pPr>
        <w:pStyle w:val="Header"/>
        <w:numPr>
          <w:ilvl w:val="0"/>
          <w:numId w:val="4"/>
        </w:numPr>
        <w:tabs>
          <w:tab w:val="clear" w:pos="4153"/>
          <w:tab w:val="clear" w:pos="8306"/>
          <w:tab w:val="right" w:pos="9639"/>
        </w:tabs>
        <w:spacing w:before="120"/>
        <w:ind w:left="709"/>
        <w:jc w:val="both"/>
        <w:rPr>
          <w:rFonts w:cs="Arial"/>
          <w:b/>
          <w:i/>
          <w:iCs/>
          <w:sz w:val="18"/>
          <w:szCs w:val="18"/>
          <w:u w:val="single"/>
        </w:rPr>
      </w:pPr>
      <w:r w:rsidRPr="008A424C">
        <w:rPr>
          <w:rFonts w:cs="Arial"/>
          <w:b/>
          <w:i/>
          <w:iCs/>
          <w:sz w:val="18"/>
          <w:szCs w:val="18"/>
          <w:u w:val="single"/>
        </w:rPr>
        <w:t>Tanácsadói díj</w:t>
      </w:r>
    </w:p>
    <w:p w14:paraId="1742C900" w14:textId="77777777" w:rsidR="00770C50" w:rsidRPr="000068CC" w:rsidRDefault="00770C50" w:rsidP="00770C50">
      <w:pPr>
        <w:pStyle w:val="Default"/>
        <w:jc w:val="both"/>
        <w:rPr>
          <w:sz w:val="18"/>
          <w:szCs w:val="18"/>
        </w:rPr>
      </w:pPr>
    </w:p>
    <w:p w14:paraId="7825D5B2" w14:textId="77777777" w:rsidR="00770C50" w:rsidRPr="000068CC" w:rsidRDefault="00770C50" w:rsidP="00770C50">
      <w:pPr>
        <w:pStyle w:val="Default"/>
        <w:jc w:val="both"/>
        <w:rPr>
          <w:sz w:val="18"/>
          <w:szCs w:val="18"/>
        </w:rPr>
      </w:pPr>
    </w:p>
    <w:p w14:paraId="5E83FF8E" w14:textId="77777777" w:rsidR="00770C50" w:rsidRPr="00E77AEE" w:rsidRDefault="00770C50" w:rsidP="00770C50">
      <w:pPr>
        <w:pStyle w:val="Default"/>
        <w:jc w:val="both"/>
        <w:rPr>
          <w:color w:val="auto"/>
          <w:sz w:val="18"/>
          <w:szCs w:val="18"/>
        </w:rPr>
      </w:pPr>
      <w:r w:rsidRPr="00E77AEE">
        <w:rPr>
          <w:bCs/>
          <w:color w:val="auto"/>
          <w:sz w:val="18"/>
          <w:szCs w:val="18"/>
        </w:rPr>
        <w:t>A díj alapját képezi:</w:t>
      </w:r>
      <w:r w:rsidRPr="00E77AEE">
        <w:rPr>
          <w:b/>
          <w:bCs/>
          <w:color w:val="auto"/>
          <w:sz w:val="18"/>
          <w:szCs w:val="18"/>
        </w:rPr>
        <w:t xml:space="preserve"> </w:t>
      </w:r>
      <w:r w:rsidRPr="00E77AEE">
        <w:rPr>
          <w:color w:val="auto"/>
          <w:sz w:val="18"/>
          <w:szCs w:val="18"/>
        </w:rPr>
        <w:t>az Ügyfélnek az Erste Befektetési Zrt. által az értékpapírszámlán nyilvántartott eszközeinek éves átlagos állománya/annak időszaki arányos értéke (díjalap)</w:t>
      </w:r>
    </w:p>
    <w:p w14:paraId="08EFC806" w14:textId="77777777" w:rsidR="00770C50" w:rsidRPr="00E77AEE" w:rsidRDefault="00770C50" w:rsidP="00770C50">
      <w:pPr>
        <w:pStyle w:val="Default"/>
        <w:jc w:val="both"/>
        <w:rPr>
          <w:color w:val="auto"/>
          <w:sz w:val="18"/>
          <w:szCs w:val="18"/>
        </w:rPr>
      </w:pPr>
    </w:p>
    <w:p w14:paraId="71D9550F" w14:textId="77777777" w:rsidR="00770C50" w:rsidRPr="00E77AEE" w:rsidRDefault="00770C50" w:rsidP="00770C50">
      <w:pPr>
        <w:pStyle w:val="Default"/>
        <w:jc w:val="both"/>
        <w:rPr>
          <w:color w:val="auto"/>
          <w:sz w:val="18"/>
          <w:szCs w:val="18"/>
        </w:rPr>
      </w:pPr>
      <w:bookmarkStart w:id="0" w:name="_Hlk193386155"/>
      <w:r w:rsidRPr="00E77AEE">
        <w:rPr>
          <w:color w:val="auto"/>
          <w:sz w:val="18"/>
          <w:szCs w:val="18"/>
        </w:rPr>
        <w:t>A</w:t>
      </w:r>
      <w:r w:rsidRPr="00E77AEE">
        <w:rPr>
          <w:b/>
          <w:bCs/>
          <w:color w:val="auto"/>
          <w:sz w:val="14"/>
          <w:szCs w:val="14"/>
        </w:rPr>
        <w:t xml:space="preserve"> </w:t>
      </w:r>
      <w:r w:rsidRPr="00E77AEE">
        <w:rPr>
          <w:color w:val="auto"/>
          <w:sz w:val="18"/>
          <w:szCs w:val="18"/>
        </w:rPr>
        <w:t xml:space="preserve">díj mértéke: A díjalap </w:t>
      </w:r>
    </w:p>
    <w:p w14:paraId="39A11A35" w14:textId="77777777" w:rsidR="00770C50" w:rsidRPr="009D4786" w:rsidRDefault="00770C50" w:rsidP="00770C50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eastAsia="hu-HU"/>
        </w:rPr>
      </w:pPr>
      <w:r>
        <w:rPr>
          <w:rFonts w:cs="Arial"/>
          <w:sz w:val="18"/>
          <w:szCs w:val="18"/>
          <w:lang w:eastAsia="hu-HU"/>
        </w:rPr>
        <w:t>1</w:t>
      </w:r>
      <w:r w:rsidRPr="009D4786">
        <w:rPr>
          <w:rFonts w:cs="Arial"/>
          <w:sz w:val="18"/>
          <w:szCs w:val="18"/>
          <w:lang w:eastAsia="hu-HU"/>
        </w:rPr>
        <w:t xml:space="preserve">% </w:t>
      </w:r>
      <w:r>
        <w:rPr>
          <w:rFonts w:cs="Arial"/>
          <w:sz w:val="18"/>
          <w:szCs w:val="18"/>
          <w:lang w:eastAsia="hu-HU"/>
        </w:rPr>
        <w:t xml:space="preserve">-a </w:t>
      </w:r>
      <w:bookmarkEnd w:id="0"/>
    </w:p>
    <w:p w14:paraId="74774389" w14:textId="77777777" w:rsidR="00770C50" w:rsidRPr="00E77AEE" w:rsidRDefault="00770C50" w:rsidP="00770C50">
      <w:pPr>
        <w:pStyle w:val="Default"/>
        <w:jc w:val="both"/>
        <w:rPr>
          <w:color w:val="auto"/>
          <w:sz w:val="14"/>
          <w:szCs w:val="14"/>
        </w:rPr>
      </w:pPr>
    </w:p>
    <w:p w14:paraId="1E66C845" w14:textId="77777777" w:rsidR="00770C50" w:rsidRPr="00E77AEE" w:rsidRDefault="00770C50" w:rsidP="00770C50">
      <w:pPr>
        <w:pStyle w:val="Default"/>
        <w:jc w:val="both"/>
        <w:rPr>
          <w:color w:val="auto"/>
          <w:sz w:val="18"/>
          <w:szCs w:val="18"/>
        </w:rPr>
      </w:pPr>
      <w:r w:rsidRPr="00E77AEE">
        <w:rPr>
          <w:color w:val="auto"/>
          <w:sz w:val="18"/>
          <w:szCs w:val="18"/>
        </w:rPr>
        <w:t>A díj esedékessége: A tanácsadói díj időarányosan, naptári negyedévenként, utólag esedékes, amelyet a Társaság külön terhel az Ügyfél Erste Befektetési Zrt.-nél vezetett értékpapírszámláján.</w:t>
      </w:r>
    </w:p>
    <w:p w14:paraId="681DCF50" w14:textId="77777777" w:rsidR="00770C50" w:rsidRDefault="00770C50" w:rsidP="00770C50">
      <w:pPr>
        <w:pStyle w:val="Header"/>
        <w:tabs>
          <w:tab w:val="clear" w:pos="4153"/>
          <w:tab w:val="clear" w:pos="8306"/>
          <w:tab w:val="right" w:pos="9639"/>
        </w:tabs>
        <w:ind w:left="360" w:right="1841"/>
        <w:jc w:val="both"/>
        <w:rPr>
          <w:rFonts w:cs="Arial"/>
          <w:b/>
          <w:sz w:val="16"/>
          <w:szCs w:val="16"/>
        </w:rPr>
      </w:pPr>
    </w:p>
    <w:p w14:paraId="5AA71E81" w14:textId="77777777" w:rsidR="00770C50" w:rsidRPr="00503001" w:rsidRDefault="00770C50" w:rsidP="00770C50">
      <w:pPr>
        <w:pStyle w:val="Header"/>
        <w:tabs>
          <w:tab w:val="clear" w:pos="4153"/>
          <w:tab w:val="clear" w:pos="8306"/>
          <w:tab w:val="right" w:pos="9639"/>
        </w:tabs>
        <w:ind w:left="567" w:right="1841"/>
        <w:jc w:val="both"/>
        <w:rPr>
          <w:rFonts w:cs="Arial"/>
          <w:sz w:val="16"/>
          <w:szCs w:val="16"/>
        </w:rPr>
      </w:pPr>
    </w:p>
    <w:p w14:paraId="584A3106" w14:textId="77777777" w:rsidR="00770C50" w:rsidRPr="00657C99" w:rsidRDefault="00770C50" w:rsidP="00770C50">
      <w:pPr>
        <w:pStyle w:val="Header"/>
        <w:numPr>
          <w:ilvl w:val="0"/>
          <w:numId w:val="4"/>
        </w:numPr>
        <w:tabs>
          <w:tab w:val="clear" w:pos="4153"/>
          <w:tab w:val="clear" w:pos="8306"/>
          <w:tab w:val="right" w:pos="5103"/>
          <w:tab w:val="right" w:pos="6663"/>
          <w:tab w:val="right" w:pos="6804"/>
          <w:tab w:val="right" w:pos="9639"/>
        </w:tabs>
        <w:ind w:left="709"/>
        <w:rPr>
          <w:rFonts w:cs="Arial"/>
          <w:b/>
          <w:i/>
          <w:iCs/>
          <w:sz w:val="18"/>
          <w:szCs w:val="18"/>
          <w:u w:val="single"/>
        </w:rPr>
      </w:pPr>
      <w:r w:rsidRPr="00657C99">
        <w:rPr>
          <w:rFonts w:cs="Arial"/>
          <w:b/>
          <w:i/>
          <w:iCs/>
          <w:sz w:val="18"/>
          <w:szCs w:val="18"/>
          <w:u w:val="single"/>
        </w:rPr>
        <w:t>Egyéb rendelkezések</w:t>
      </w:r>
    </w:p>
    <w:p w14:paraId="31479E2E" w14:textId="77777777" w:rsidR="00770C50" w:rsidRDefault="00770C50" w:rsidP="00770C50">
      <w:pPr>
        <w:pStyle w:val="Header"/>
        <w:tabs>
          <w:tab w:val="clear" w:pos="4153"/>
          <w:tab w:val="clear" w:pos="8306"/>
          <w:tab w:val="right" w:pos="9639"/>
        </w:tabs>
        <w:ind w:right="1841"/>
        <w:jc w:val="both"/>
        <w:rPr>
          <w:rFonts w:cs="Arial"/>
          <w:sz w:val="16"/>
          <w:szCs w:val="16"/>
        </w:rPr>
      </w:pPr>
    </w:p>
    <w:p w14:paraId="238C0CE0" w14:textId="77777777" w:rsidR="00770C50" w:rsidRPr="00600B26" w:rsidRDefault="00770C50" w:rsidP="00770C50">
      <w:pPr>
        <w:pStyle w:val="Heading3"/>
        <w:rPr>
          <w:b/>
          <w:sz w:val="18"/>
          <w:szCs w:val="18"/>
        </w:rPr>
      </w:pPr>
      <w:r w:rsidRPr="00600B26">
        <w:rPr>
          <w:sz w:val="18"/>
          <w:szCs w:val="18"/>
        </w:rPr>
        <w:t>Minden egyéb esetben az Erste Befektetési Zrt. hatályos Díjjegyzékében foglalt szabályok és díjak érvényesek.</w:t>
      </w:r>
    </w:p>
    <w:p w14:paraId="4ED6AFC3" w14:textId="77777777" w:rsidR="00770C50" w:rsidRPr="00600B26" w:rsidRDefault="00770C50" w:rsidP="00770C50">
      <w:pPr>
        <w:pStyle w:val="Header"/>
        <w:tabs>
          <w:tab w:val="clear" w:pos="4153"/>
          <w:tab w:val="clear" w:pos="8306"/>
          <w:tab w:val="right" w:pos="9639"/>
        </w:tabs>
        <w:ind w:left="567" w:right="1841"/>
        <w:jc w:val="both"/>
        <w:rPr>
          <w:rFonts w:cs="Arial"/>
          <w:sz w:val="18"/>
          <w:szCs w:val="18"/>
        </w:rPr>
      </w:pPr>
    </w:p>
    <w:p w14:paraId="1D21A322" w14:textId="77777777" w:rsidR="00770C50" w:rsidRPr="00600B26" w:rsidRDefault="00770C50" w:rsidP="00770C50">
      <w:pPr>
        <w:pStyle w:val="Header"/>
        <w:tabs>
          <w:tab w:val="clear" w:pos="4153"/>
          <w:tab w:val="clear" w:pos="8306"/>
          <w:tab w:val="right" w:pos="9639"/>
        </w:tabs>
        <w:jc w:val="both"/>
        <w:rPr>
          <w:rFonts w:cs="Arial"/>
          <w:sz w:val="18"/>
          <w:szCs w:val="18"/>
        </w:rPr>
      </w:pPr>
    </w:p>
    <w:p w14:paraId="2E7C1A48" w14:textId="77777777" w:rsidR="00770C50" w:rsidRPr="00600B26" w:rsidRDefault="00770C50" w:rsidP="00770C50">
      <w:pPr>
        <w:pStyle w:val="Header"/>
        <w:tabs>
          <w:tab w:val="clear" w:pos="4153"/>
          <w:tab w:val="clear" w:pos="8306"/>
          <w:tab w:val="right" w:pos="9639"/>
        </w:tabs>
        <w:jc w:val="both"/>
        <w:rPr>
          <w:rFonts w:cs="Arial"/>
          <w:sz w:val="18"/>
          <w:szCs w:val="18"/>
        </w:rPr>
      </w:pPr>
    </w:p>
    <w:p w14:paraId="6A090835" w14:textId="77777777" w:rsidR="00770C50" w:rsidRPr="00600B26" w:rsidRDefault="00770C50" w:rsidP="00770C50">
      <w:pPr>
        <w:pStyle w:val="Header"/>
        <w:tabs>
          <w:tab w:val="clear" w:pos="4153"/>
          <w:tab w:val="clear" w:pos="8306"/>
          <w:tab w:val="left" w:pos="567"/>
          <w:tab w:val="right" w:pos="5103"/>
          <w:tab w:val="right" w:pos="6804"/>
          <w:tab w:val="right" w:pos="9639"/>
        </w:tabs>
        <w:jc w:val="both"/>
        <w:rPr>
          <w:rFonts w:cs="Arial"/>
          <w:b/>
          <w:bCs/>
          <w:sz w:val="18"/>
          <w:szCs w:val="18"/>
        </w:rPr>
      </w:pPr>
      <w:r w:rsidRPr="00600B26">
        <w:rPr>
          <w:rFonts w:cs="Arial"/>
          <w:b/>
          <w:bCs/>
          <w:sz w:val="18"/>
          <w:szCs w:val="18"/>
        </w:rPr>
        <w:t>A szerződő felek közös megegyezéssel egyedi megállapodásukban a fenti díjtételektől eltérően is megállapodhatnak.</w:t>
      </w:r>
    </w:p>
    <w:p w14:paraId="778CC11A" w14:textId="77777777" w:rsidR="00770C50" w:rsidRPr="00600B26" w:rsidRDefault="00770C50" w:rsidP="00770C50">
      <w:pPr>
        <w:pStyle w:val="Header"/>
        <w:tabs>
          <w:tab w:val="clear" w:pos="4153"/>
          <w:tab w:val="clear" w:pos="8306"/>
          <w:tab w:val="left" w:pos="567"/>
          <w:tab w:val="right" w:pos="5103"/>
          <w:tab w:val="right" w:pos="6804"/>
          <w:tab w:val="right" w:pos="9639"/>
        </w:tabs>
        <w:jc w:val="both"/>
        <w:rPr>
          <w:rFonts w:cs="Arial"/>
          <w:sz w:val="18"/>
          <w:szCs w:val="18"/>
        </w:rPr>
      </w:pPr>
    </w:p>
    <w:p w14:paraId="2A452290" w14:textId="77777777" w:rsidR="007640E3" w:rsidRPr="00600B26" w:rsidRDefault="007640E3" w:rsidP="007640E3">
      <w:pPr>
        <w:pStyle w:val="Header"/>
        <w:tabs>
          <w:tab w:val="clear" w:pos="4153"/>
          <w:tab w:val="clear" w:pos="8306"/>
          <w:tab w:val="left" w:pos="567"/>
          <w:tab w:val="right" w:pos="5103"/>
          <w:tab w:val="right" w:pos="6804"/>
          <w:tab w:val="right" w:pos="9639"/>
        </w:tabs>
        <w:jc w:val="both"/>
        <w:rPr>
          <w:rFonts w:cs="Arial"/>
          <w:sz w:val="18"/>
          <w:szCs w:val="18"/>
        </w:rPr>
      </w:pPr>
    </w:p>
    <w:p w14:paraId="394BC4C8" w14:textId="77777777" w:rsidR="007640E3" w:rsidRPr="00600B26" w:rsidRDefault="007640E3" w:rsidP="007640E3">
      <w:pPr>
        <w:pStyle w:val="Header"/>
        <w:tabs>
          <w:tab w:val="clear" w:pos="4153"/>
          <w:tab w:val="clear" w:pos="8306"/>
          <w:tab w:val="left" w:pos="567"/>
          <w:tab w:val="right" w:pos="5103"/>
          <w:tab w:val="right" w:pos="6804"/>
          <w:tab w:val="right" w:pos="9639"/>
        </w:tabs>
        <w:jc w:val="both"/>
        <w:rPr>
          <w:rFonts w:cs="Arial"/>
          <w:sz w:val="18"/>
          <w:szCs w:val="18"/>
        </w:rPr>
      </w:pPr>
    </w:p>
    <w:p w14:paraId="2AC8F7A9" w14:textId="77777777" w:rsidR="007640E3" w:rsidRDefault="007640E3" w:rsidP="007640E3">
      <w:pPr>
        <w:pStyle w:val="Header"/>
        <w:tabs>
          <w:tab w:val="clear" w:pos="4153"/>
          <w:tab w:val="clear" w:pos="8306"/>
          <w:tab w:val="left" w:pos="567"/>
          <w:tab w:val="right" w:pos="5103"/>
          <w:tab w:val="right" w:pos="6804"/>
          <w:tab w:val="right" w:pos="9639"/>
        </w:tabs>
        <w:jc w:val="both"/>
        <w:rPr>
          <w:rFonts w:cs="Arial"/>
          <w:sz w:val="16"/>
          <w:szCs w:val="16"/>
        </w:rPr>
      </w:pPr>
    </w:p>
    <w:p w14:paraId="531BFE7F" w14:textId="77777777" w:rsidR="005A3137" w:rsidRDefault="005A3137" w:rsidP="005A3137">
      <w:pPr>
        <w:pStyle w:val="Header"/>
        <w:tabs>
          <w:tab w:val="clear" w:pos="4153"/>
          <w:tab w:val="clear" w:pos="8306"/>
          <w:tab w:val="left" w:pos="567"/>
          <w:tab w:val="right" w:pos="5103"/>
          <w:tab w:val="right" w:pos="6804"/>
          <w:tab w:val="right" w:pos="9639"/>
        </w:tabs>
        <w:jc w:val="both"/>
        <w:rPr>
          <w:rFonts w:cs="Arial"/>
          <w:sz w:val="16"/>
          <w:szCs w:val="16"/>
        </w:rPr>
      </w:pPr>
    </w:p>
    <w:p w14:paraId="73FF37C8" w14:textId="77777777" w:rsidR="005A3137" w:rsidRDefault="005A3137" w:rsidP="005A3137">
      <w:pPr>
        <w:pStyle w:val="Header"/>
        <w:tabs>
          <w:tab w:val="clear" w:pos="4153"/>
          <w:tab w:val="clear" w:pos="8306"/>
          <w:tab w:val="left" w:pos="567"/>
          <w:tab w:val="right" w:pos="5103"/>
          <w:tab w:val="right" w:pos="6804"/>
          <w:tab w:val="right" w:pos="9639"/>
        </w:tabs>
        <w:jc w:val="both"/>
        <w:rPr>
          <w:rFonts w:cs="Arial"/>
          <w:sz w:val="16"/>
          <w:szCs w:val="16"/>
        </w:rPr>
      </w:pPr>
    </w:p>
    <w:p w14:paraId="210BF835" w14:textId="77777777" w:rsidR="005A3137" w:rsidRDefault="005A3137" w:rsidP="005A3137">
      <w:pPr>
        <w:pStyle w:val="Header"/>
        <w:tabs>
          <w:tab w:val="clear" w:pos="4153"/>
          <w:tab w:val="clear" w:pos="8306"/>
          <w:tab w:val="left" w:pos="567"/>
          <w:tab w:val="right" w:pos="5103"/>
          <w:tab w:val="right" w:pos="6804"/>
          <w:tab w:val="right" w:pos="9639"/>
        </w:tabs>
        <w:jc w:val="both"/>
        <w:rPr>
          <w:rFonts w:cs="Arial"/>
          <w:sz w:val="16"/>
          <w:szCs w:val="16"/>
        </w:rPr>
      </w:pPr>
    </w:p>
    <w:p w14:paraId="633DC92A" w14:textId="77777777" w:rsidR="005A3137" w:rsidRDefault="005A3137" w:rsidP="005A3137">
      <w:pPr>
        <w:pStyle w:val="Header"/>
        <w:tabs>
          <w:tab w:val="clear" w:pos="4153"/>
          <w:tab w:val="clear" w:pos="8306"/>
          <w:tab w:val="left" w:pos="567"/>
          <w:tab w:val="right" w:pos="5103"/>
          <w:tab w:val="right" w:pos="6804"/>
          <w:tab w:val="right" w:pos="9639"/>
        </w:tabs>
        <w:jc w:val="both"/>
        <w:rPr>
          <w:rFonts w:cs="Arial"/>
          <w:sz w:val="16"/>
          <w:szCs w:val="16"/>
        </w:rPr>
      </w:pPr>
    </w:p>
    <w:p w14:paraId="545B4E23" w14:textId="77777777" w:rsidR="005A3137" w:rsidRDefault="005A3137" w:rsidP="005A3137">
      <w:pPr>
        <w:pStyle w:val="Header"/>
        <w:tabs>
          <w:tab w:val="clear" w:pos="4153"/>
          <w:tab w:val="clear" w:pos="8306"/>
          <w:tab w:val="right" w:pos="9639"/>
        </w:tabs>
        <w:jc w:val="both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ab/>
        <w:t>A befektetési szolgáltatást az Erste Befektetési Zrt. nyújtja.</w:t>
      </w:r>
    </w:p>
    <w:p w14:paraId="4DD1748C" w14:textId="77777777" w:rsidR="005A3137" w:rsidRDefault="005A3137" w:rsidP="005A3137">
      <w:pPr>
        <w:pStyle w:val="Header"/>
        <w:tabs>
          <w:tab w:val="clear" w:pos="4153"/>
          <w:tab w:val="clear" w:pos="8306"/>
          <w:tab w:val="left" w:pos="567"/>
          <w:tab w:val="right" w:pos="9639"/>
        </w:tabs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Cégjegyzékszám: 01-10-041-373</w:t>
      </w:r>
    </w:p>
    <w:p w14:paraId="777104E9" w14:textId="77777777" w:rsidR="005A3137" w:rsidRDefault="005A3137" w:rsidP="005A3137">
      <w:pPr>
        <w:pStyle w:val="Header"/>
        <w:tabs>
          <w:tab w:val="clear" w:pos="4153"/>
          <w:tab w:val="clear" w:pos="8306"/>
          <w:tab w:val="left" w:pos="567"/>
          <w:tab w:val="right" w:pos="9639"/>
        </w:tabs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 xml:space="preserve">Tev. eng. szám: III/75.005-19/2002 és </w:t>
      </w:r>
      <w:r w:rsidRPr="00C622E2">
        <w:rPr>
          <w:rFonts w:cs="Arial"/>
          <w:sz w:val="16"/>
          <w:szCs w:val="16"/>
        </w:rPr>
        <w:t>E-III/324/2008</w:t>
      </w:r>
    </w:p>
    <w:p w14:paraId="45D6479E" w14:textId="77777777" w:rsidR="005A3137" w:rsidRPr="003962DA" w:rsidRDefault="005A3137" w:rsidP="005A3137">
      <w:pPr>
        <w:pStyle w:val="Header"/>
        <w:tabs>
          <w:tab w:val="clear" w:pos="4153"/>
          <w:tab w:val="clear" w:pos="8306"/>
          <w:tab w:val="left" w:pos="567"/>
          <w:tab w:val="right" w:pos="9639"/>
        </w:tabs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BÉT– tőzsdetag</w:t>
      </w:r>
    </w:p>
    <w:p w14:paraId="488664AB" w14:textId="77777777" w:rsidR="005A3137" w:rsidRDefault="005A3137" w:rsidP="005A3137">
      <w:pPr>
        <w:pStyle w:val="Header"/>
        <w:tabs>
          <w:tab w:val="clear" w:pos="4153"/>
          <w:tab w:val="clear" w:pos="8306"/>
          <w:tab w:val="right" w:pos="9639"/>
        </w:tabs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>Erste Befektetési Zrt.</w:t>
      </w:r>
    </w:p>
    <w:p w14:paraId="66D0E004" w14:textId="77777777" w:rsidR="005A3137" w:rsidRDefault="005A3137" w:rsidP="005A3137">
      <w:pPr>
        <w:pStyle w:val="Header"/>
        <w:tabs>
          <w:tab w:val="clear" w:pos="4153"/>
          <w:tab w:val="clear" w:pos="8306"/>
          <w:tab w:val="right" w:pos="9639"/>
        </w:tabs>
        <w:rPr>
          <w:rFonts w:cs="Arial"/>
          <w:b/>
          <w:bCs/>
          <w:sz w:val="22"/>
          <w:szCs w:val="22"/>
        </w:rPr>
      </w:pPr>
    </w:p>
    <w:p w14:paraId="762EE8DE" w14:textId="77777777" w:rsidR="005A3137" w:rsidRDefault="005A3137" w:rsidP="005A3137">
      <w:pPr>
        <w:pStyle w:val="Header"/>
        <w:tabs>
          <w:tab w:val="clear" w:pos="4153"/>
          <w:tab w:val="clear" w:pos="8306"/>
          <w:tab w:val="right" w:pos="9639"/>
        </w:tabs>
        <w:rPr>
          <w:rFonts w:cs="Arial"/>
          <w:b/>
          <w:bCs/>
          <w:sz w:val="22"/>
          <w:szCs w:val="22"/>
        </w:rPr>
      </w:pPr>
    </w:p>
    <w:p w14:paraId="7201BE68" w14:textId="7C5FCE63" w:rsidR="005D0031" w:rsidRDefault="005A3137" w:rsidP="005A3137">
      <w:r>
        <w:rPr>
          <w:rFonts w:cs="Arial"/>
          <w:b/>
          <w:bCs/>
          <w:sz w:val="22"/>
          <w:szCs w:val="22"/>
        </w:rPr>
        <w:t>Budapest, 2026. február</w:t>
      </w:r>
      <w:r w:rsidR="00020257">
        <w:rPr>
          <w:rFonts w:cs="Arial"/>
          <w:b/>
          <w:bCs/>
          <w:sz w:val="22"/>
          <w:szCs w:val="22"/>
        </w:rPr>
        <w:t xml:space="preserve"> </w:t>
      </w:r>
      <w:r w:rsidR="00B21162">
        <w:rPr>
          <w:rFonts w:cs="Arial"/>
          <w:b/>
          <w:bCs/>
          <w:sz w:val="22"/>
          <w:szCs w:val="22"/>
        </w:rPr>
        <w:t>5</w:t>
      </w:r>
      <w:r w:rsidR="00020257">
        <w:rPr>
          <w:rFonts w:cs="Arial"/>
          <w:b/>
          <w:bCs/>
          <w:sz w:val="22"/>
          <w:szCs w:val="22"/>
        </w:rPr>
        <w:t>.</w:t>
      </w:r>
    </w:p>
    <w:sectPr w:rsidR="005D0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1FD1D" w14:textId="77777777" w:rsidR="005A3137" w:rsidRDefault="005A3137" w:rsidP="005A3137">
      <w:r>
        <w:separator/>
      </w:r>
    </w:p>
  </w:endnote>
  <w:endnote w:type="continuationSeparator" w:id="0">
    <w:p w14:paraId="3A899D78" w14:textId="77777777" w:rsidR="005A3137" w:rsidRDefault="005A3137" w:rsidP="005A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DEAD1" w14:textId="77777777" w:rsidR="005A3137" w:rsidRDefault="005A3137" w:rsidP="005A3137">
      <w:r>
        <w:separator/>
      </w:r>
    </w:p>
  </w:footnote>
  <w:footnote w:type="continuationSeparator" w:id="0">
    <w:p w14:paraId="3297D2E9" w14:textId="77777777" w:rsidR="005A3137" w:rsidRDefault="005A3137" w:rsidP="005A3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FBE"/>
    <w:multiLevelType w:val="hybridMultilevel"/>
    <w:tmpl w:val="8D84A652"/>
    <w:lvl w:ilvl="0" w:tplc="1FE85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17EF"/>
    <w:multiLevelType w:val="hybridMultilevel"/>
    <w:tmpl w:val="4C0E0BF0"/>
    <w:lvl w:ilvl="0" w:tplc="DF4E60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95613"/>
    <w:multiLevelType w:val="hybridMultilevel"/>
    <w:tmpl w:val="10A02272"/>
    <w:lvl w:ilvl="0" w:tplc="6D26B3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F517B"/>
    <w:multiLevelType w:val="hybridMultilevel"/>
    <w:tmpl w:val="8A380B62"/>
    <w:lvl w:ilvl="0" w:tplc="1414C89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8194448">
    <w:abstractNumId w:val="3"/>
  </w:num>
  <w:num w:numId="2" w16cid:durableId="1993757575">
    <w:abstractNumId w:val="1"/>
  </w:num>
  <w:num w:numId="3" w16cid:durableId="427694903">
    <w:abstractNumId w:val="2"/>
  </w:num>
  <w:num w:numId="4" w16cid:durableId="173069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37"/>
    <w:rsid w:val="00020257"/>
    <w:rsid w:val="000E5E96"/>
    <w:rsid w:val="0049403C"/>
    <w:rsid w:val="005A3137"/>
    <w:rsid w:val="005D0031"/>
    <w:rsid w:val="007640E3"/>
    <w:rsid w:val="00770C50"/>
    <w:rsid w:val="00796215"/>
    <w:rsid w:val="008F32B5"/>
    <w:rsid w:val="009E16AB"/>
    <w:rsid w:val="00B21162"/>
    <w:rsid w:val="00C179BB"/>
    <w:rsid w:val="00D11F89"/>
    <w:rsid w:val="00DA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FD227"/>
  <w15:chartTrackingRefBased/>
  <w15:docId w15:val="{F2A80BF2-C619-40CA-8D57-46A2BD9D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13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A3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A3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A3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1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1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1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1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1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1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1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1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1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1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1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1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1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1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1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1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5A31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A3137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Default">
    <w:name w:val="Default"/>
    <w:rsid w:val="005A31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u-H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A31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137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Deák Rita ERSTE-INV HUN</dc:creator>
  <cp:keywords/>
  <dc:description/>
  <cp:lastModifiedBy>Deák Rita (ERSTE-INV HUN)</cp:lastModifiedBy>
  <cp:revision>5</cp:revision>
  <dcterms:created xsi:type="dcterms:W3CDTF">2026-01-29T09:09:00Z</dcterms:created>
  <dcterms:modified xsi:type="dcterms:W3CDTF">2026-02-05T12:54:00Z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2026-01-29T08:45:55Z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d7532a5e-a64c-4d3c-b336-c6e2e734eb79</vt:lpwstr>
  </property>
  <property fmtid="{D5CDD505-2E9C-101B-9397-08002B2CF9AE}" pid="8" name="MSIP_Label_38939b85-7e40-4a1d-91e1-0e84c3b219d7_ContentBits">
    <vt:lpwstr>0</vt:lpwstr>
  </property>
  <property fmtid="{D5CDD505-2E9C-101B-9397-08002B2CF9AE}" pid="9" name="MSIP_Label_38939b85-7e40-4a1d-91e1-0e84c3b219d7_Tag">
    <vt:lpwstr>10, 3, 0, 1</vt:lpwstr>
  </property>
</Properties>
</file>